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b w:val="1"/>
          <w:color w:val="1a469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a4695"/>
          <w:sz w:val="24"/>
          <w:szCs w:val="24"/>
        </w:rPr>
        <w:drawing>
          <wp:inline distB="0" distT="0" distL="0" distR="0">
            <wp:extent cx="1643537" cy="811576"/>
            <wp:effectExtent b="0" l="0" r="0" t="0"/>
            <wp:docPr descr="C:\Users\User\Documents\UFPI\Documentos UFDPar 2021.1\Assinatura Preferencial UFDPar - horizontal PNG.png" id="221" name="image1.png"/>
            <a:graphic>
              <a:graphicData uri="http://schemas.openxmlformats.org/drawingml/2006/picture">
                <pic:pic>
                  <pic:nvPicPr>
                    <pic:cNvPr descr="C:\Users\User\Documents\UFPI\Documentos UFDPar 2021.1\Assinatura Preferencial UFDPar - horizontal PNG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3537" cy="8115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109220</wp:posOffset>
                </wp:positionV>
                <wp:extent cx="2990850" cy="782955"/>
                <wp:effectExtent b="0" l="0" r="0" t="0"/>
                <wp:wrapSquare wrapText="bothSides" distB="45720" distT="45720" distL="114300" distR="114300"/>
                <wp:docPr id="2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60100" y="3398048"/>
                          <a:ext cx="2971800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Trabalho de Conclusão de Curso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Curso de Fisioterapia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Resumo Expandido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109220</wp:posOffset>
                </wp:positionV>
                <wp:extent cx="2990850" cy="782955"/>
                <wp:effectExtent b="0" l="0" r="0" t="0"/>
                <wp:wrapSquare wrapText="bothSides" distB="45720" distT="45720" distL="114300" distR="114300"/>
                <wp:docPr id="22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0850" cy="7829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b w:val="1"/>
          <w:color w:val="1a469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b w:val="1"/>
          <w:color w:val="1a469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0"/>
          <w:i w:val="0"/>
          <w:color w:val="24202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USO DA FOTOBIOMODULAÇÃO NO DESEMPENHO MOTOR E/OU NO TRATAMENTO DA DOENÇA DE PARKINSON: UMA REVISÃO SISTEMÁTICA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Anna Sofia Miranda Loiola Araujo*, Silmar Silva Teixeira**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rtl w:val="0"/>
        </w:rPr>
        <w:t xml:space="preserve">Discente de Fisioterapia, UFDPar, sofialoiola20@gmail.com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**Docente do Departamento de Fisioterapia, UFDPar,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silmarteixeira@ufpi.edu.br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b w:val="1"/>
          <w:i w:val="0"/>
          <w:color w:val="1a469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color w:val="1a4695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Doença de Parkinson é uma doença neurodegenerativa progressiva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caracterizada pela perda gradual de neurônios dopaminérgicos na substância negra do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sistema nervoso e agregados de proteínas intraneuronais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Apresenta sintomas motores (como bradicinesia, rigidez e tremor de repouso) e não motores.</w:t>
      </w:r>
    </w:p>
    <w:p w:rsidR="00000000" w:rsidDel="00000000" w:rsidP="00000000" w:rsidRDefault="00000000" w:rsidRPr="00000000" w14:paraId="0000000F">
      <w:pPr>
        <w:spacing w:after="0" w:lineRule="auto"/>
        <w:rPr>
          <w:rFonts w:ascii="Arial" w:cs="Arial" w:eastAsia="Arial" w:hAnsi="Arial"/>
          <w:b w:val="1"/>
          <w:i w:val="0"/>
          <w:color w:val="1a469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4202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color w:val="1a4695"/>
          <w:sz w:val="24"/>
          <w:szCs w:val="24"/>
          <w:rtl w:val="0"/>
        </w:rPr>
        <w:t xml:space="preserve">Objetivo</w:t>
      </w:r>
    </w:p>
    <w:p w:rsidR="00000000" w:rsidDel="00000000" w:rsidP="00000000" w:rsidRDefault="00000000" w:rsidRPr="00000000" w14:paraId="00000010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objetivo dessa revisão foi investigar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se a fotobiomodulação (FBM) pode ser útil para a manutenção da funcionalidade e/ou tratamento da Doença de Parkinson (DP).</w:t>
      </w:r>
    </w:p>
    <w:p w:rsidR="00000000" w:rsidDel="00000000" w:rsidP="00000000" w:rsidRDefault="00000000" w:rsidRPr="00000000" w14:paraId="00000011">
      <w:pPr>
        <w:spacing w:after="0" w:line="276" w:lineRule="auto"/>
        <w:jc w:val="both"/>
        <w:rPr>
          <w:rFonts w:ascii="Arial" w:cs="Arial" w:eastAsia="Arial" w:hAnsi="Arial"/>
          <w:i w:val="0"/>
          <w:color w:val="24202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4202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color w:val="1a4695"/>
          <w:sz w:val="24"/>
          <w:szCs w:val="24"/>
          <w:rtl w:val="0"/>
        </w:rPr>
        <w:t xml:space="preserve">Método</w:t>
      </w:r>
      <w:r w:rsidDel="00000000" w:rsidR="00000000" w:rsidRPr="00000000">
        <w:rPr>
          <w:rFonts w:ascii="Arial" w:cs="Arial" w:eastAsia="Arial" w:hAnsi="Arial"/>
          <w:b w:val="1"/>
          <w:color w:val="1a4695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Revisão sistemática conforme Recomendação PRISMA, realizada em dezembro de 2023, nas bases de dados: PubMed, ScienceDirect e Taylor y Francis, usando a string  “Parkinson Disease AND Phototherapy AND Functioning”. A e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stratégia PICO foi usada.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Foram incluídos ensaios clínicos, com pacientes humanos, sem restrição temporal e de idioma. A avaliação da qualidade metodológica utilizou a Escala PEDro.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rPr>
          <w:rFonts w:ascii="Arial" w:cs="Arial" w:eastAsia="Arial" w:hAnsi="Arial"/>
          <w:b w:val="1"/>
          <w:i w:val="0"/>
          <w:color w:val="1a469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4202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color w:val="1a4695"/>
          <w:sz w:val="24"/>
          <w:szCs w:val="24"/>
          <w:rtl w:val="0"/>
        </w:rPr>
        <w:t xml:space="preserve">Resultados</w:t>
      </w:r>
    </w:p>
    <w:p w:rsidR="00000000" w:rsidDel="00000000" w:rsidP="00000000" w:rsidRDefault="00000000" w:rsidRPr="00000000" w14:paraId="00000013">
      <w:pPr>
        <w:spacing w:after="0" w:line="276" w:lineRule="auto"/>
        <w:jc w:val="both"/>
        <w:rPr>
          <w:rFonts w:ascii="Arial" w:cs="Arial" w:eastAsia="Arial" w:hAnsi="Arial"/>
          <w:color w:val="24202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Total de 254 artigos achados na PUBMED (58), ScienceDirect (108) e Taylor y Francis (88), 250 excluídos e selecionados 4.</w:t>
      </w:r>
      <w:r w:rsidDel="00000000" w:rsidR="00000000" w:rsidRPr="00000000">
        <w:rPr>
          <w:rFonts w:ascii="Arial" w:cs="Arial" w:eastAsia="Arial" w:hAnsi="Arial"/>
          <w:b w:val="1"/>
          <w:color w:val="1a4695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fotobiomodulação apresentou impacto positivo no sono, na qualidade de vida e no desempenho motor, melhorando a bradicinesia, rigidez, velocidade de deambulação e mobilidade.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rFonts w:ascii="Arial" w:cs="Arial" w:eastAsia="Arial" w:hAnsi="Arial"/>
          <w:b w:val="1"/>
          <w:i w:val="0"/>
          <w:color w:val="1a469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rFonts w:ascii="Arial" w:cs="Arial" w:eastAsia="Arial" w:hAnsi="Arial"/>
          <w:b w:val="1"/>
          <w:i w:val="0"/>
          <w:color w:val="1a469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color w:val="1a4695"/>
          <w:sz w:val="24"/>
          <w:szCs w:val="24"/>
          <w:rtl w:val="0"/>
        </w:rPr>
        <w:t xml:space="preserve">Conclusão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b w:val="1"/>
          <w:i w:val="0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FBM aparenta ser um tratamento suplementar promissor na DP</w:t>
      </w:r>
      <w:r w:rsidDel="00000000" w:rsidR="00000000" w:rsidRPr="00000000">
        <w:rPr>
          <w:rFonts w:ascii="Arial" w:cs="Arial" w:eastAsia="Arial" w:hAnsi="Arial"/>
          <w:b w:val="1"/>
          <w:color w:val="1a4695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Mas, a literatura ainda é escassa e os dados não apresentam forte evidência com diferenças estatisticamente e clinicamente significativas.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i w:val="0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4202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color w:val="1a4695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Doença de Parkinson, Fototerapia, Movimento.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0"/>
          <w:i w:val="0"/>
          <w:color w:val="24202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color w:val="242021"/>
          <w:sz w:val="24"/>
          <w:szCs w:val="24"/>
          <w:rtl w:val="0"/>
        </w:rPr>
        <w:t xml:space="preserve">Referências Bibliográficas: seguindo as normas da ABNT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color w:val="242021"/>
          <w:sz w:val="24"/>
          <w:szCs w:val="24"/>
        </w:rPr>
      </w:pPr>
      <w:bookmarkStart w:colFirst="0" w:colLast="0" w:name="_heading=h.n3hl1i5yxcto" w:id="1"/>
      <w:bookmarkEnd w:id="1"/>
      <w:r w:rsidDel="00000000" w:rsidR="00000000" w:rsidRPr="00000000">
        <w:rPr>
          <w:rFonts w:ascii="Arial" w:cs="Arial" w:eastAsia="Arial" w:hAnsi="Arial"/>
          <w:color w:val="242021"/>
          <w:sz w:val="24"/>
          <w:szCs w:val="24"/>
          <w:rtl w:val="0"/>
        </w:rPr>
        <w:t xml:space="preserve">modelo 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color w:val="242021"/>
          <w:sz w:val="24"/>
          <w:szCs w:val="24"/>
        </w:rPr>
      </w:pPr>
      <w:bookmarkStart w:colFirst="0" w:colLast="0" w:name="_heading=h.g3giiuqw26xm" w:id="2"/>
      <w:bookmarkEnd w:id="2"/>
      <w:r w:rsidDel="00000000" w:rsidR="00000000" w:rsidRPr="00000000">
        <w:rPr>
          <w:rFonts w:ascii="Arial" w:cs="Arial" w:eastAsia="Arial" w:hAnsi="Arial"/>
          <w:color w:val="32333c"/>
          <w:sz w:val="21"/>
          <w:szCs w:val="21"/>
          <w:shd w:fill="f7f7f7" w:val="clear"/>
          <w:rtl w:val="0"/>
        </w:rPr>
        <w:t xml:space="preserve">SOBRENOME, Nome. </w:t>
      </w:r>
      <w:r w:rsidDel="00000000" w:rsidR="00000000" w:rsidRPr="00000000">
        <w:rPr>
          <w:rFonts w:ascii="Arial" w:cs="Arial" w:eastAsia="Arial" w:hAnsi="Arial"/>
          <w:b w:val="1"/>
          <w:color w:val="32333c"/>
          <w:sz w:val="21"/>
          <w:szCs w:val="21"/>
          <w:shd w:fill="f7f7f7" w:val="clear"/>
          <w:rtl w:val="0"/>
        </w:rPr>
        <w:t xml:space="preserve">Título:</w:t>
      </w:r>
      <w:r w:rsidDel="00000000" w:rsidR="00000000" w:rsidRPr="00000000">
        <w:rPr>
          <w:rFonts w:ascii="Arial" w:cs="Arial" w:eastAsia="Arial" w:hAnsi="Arial"/>
          <w:color w:val="32333c"/>
          <w:sz w:val="21"/>
          <w:szCs w:val="21"/>
          <w:shd w:fill="f7f7f7" w:val="clear"/>
          <w:rtl w:val="0"/>
        </w:rPr>
        <w:t xml:space="preserve"> subtítulo (se houver). Ano de publicação. Número de folhas ou volumes. Categoria (área de concentração) - Instituição, Local, ano de defesa.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CUNHA, J.M.; SIQUEIRA, E.C. O papel da neurocirurgia na doença de Parkinson: revisão de literatura.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de Medicina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V. 99, n. 1, p. 66-75, 2020.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PEREIRA, M.L. Novos alvos terapêuticos no tratamento da doença de Parkinson.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Dissertação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(Mestrado Integrado em Ciências Farmacêuticas) – Faculdade de Farmácia, Universidade de Lisboa, Lisboa, 2020. Disponível em: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https://repositorio.ul.pt/handle/10451/52392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29 dez. 2023.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3 CABREIRA, V.; MASSANO, J. Doença de Parkinson: Revisão Clínica e Atualização [Parkinson's Disease: Clinical Review and Update].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Acta Med Port.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1;32(10):661-670. 2019. doi: 10.20344/amp.11978. PMID: 31625879.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https://pubmed.ncbi.nlm.nih.gov/31625879/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4 CACABELOS, R. Parkinson's Disease: From Pathogenesis to Pharmacogenomics.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Int J Mol Sci.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4;18(3):551. 2017. doi: 10.3390/ijms18030551. PMID: 28273839; PMCID: PMC5372567.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https://www.ncbi.nlm.nih.gov/pmc/articles/PMC5372567/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SIMON, D.K.; TANNER, C.M.; BRUNDIN, P. Parkinson Disease Epidemiology, Pathology, Genetics, and Pathophysiology.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Clin Geriatr Med.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36(1):1-12. 2020. doi: 10.1016/j.cger.2019.08.002.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https://www.ncbi.nlm.nih.gov/pmc/articles/PMC6905381/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MOREIRA, C.S.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Doença de Parkinson: como diagnosticar e tratar.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Científica da Faculdade de Medicina de Campos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v. 2, n. 2, p. 19-29, 2007.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7 TOLOSA, E.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Challenges in the diagnosis of Parkinson's disease.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Lancet Neurol.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20(5):385-397. 2021. doi: 10.1016/S1474-4422(21)00030-2. PMID: 33894193; PMCID: PMC8185633.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https://www.ncbi.nlm.nih.gov/pmc/articles/PMC8185633/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HONG, C.T.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Effects of concomitant use of hydrogen water and photobiomodulation on Parkinson disease: A pilot study.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Medicine (Baltimore).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100(4):e24191. 2021. doi: 10.1097/MD.0000000000024191. PMID: 33530211; PMCID: PMC7850666.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 WILLIS, G.L.; TURNER, E.J.D. Primary and Secondary features of Parkinson’s Disease improve with strategic exposure to bright light: a case series study.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Chronobiology International,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24(3): 521–537, 2007.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ENDO, T.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Bright light improves sleep in patients with Parkinson's disease: possible role of circadian restoration.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Sci Rep.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10(1):7982. 2020. doi: 10.1038/s41598-020-64645-6. PMID: 32409683; PMCID: PMC7224174.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 BULLOCK-SAXTON, J.; LEHNB, A.; LAAKSO, E.L. Exploring the Effect of Combined Transcranial and Intra-Oral Photobiomodulation Therapy Over a Four-Week Period on Physical and Cognitive Outcome Measures for People with Parkinson’s Disease: A Randomized Double-Blind Placebo-Controlled Pilot Study.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Journal of Alzheimer’s Disease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2021. 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6838" w:w="11906" w:orient="portrait"/>
      <w:pgMar w:bottom="1304" w:top="426" w:left="1531" w:right="1531" w:header="709" w:footer="709"/>
      <w:pgNumType w:start="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62156"/>
    <w:pPr>
      <w:spacing w:after="200" w:line="276" w:lineRule="auto"/>
    </w:pPr>
    <w:rPr>
      <w:rFonts w:ascii="Calibri" w:cs="Times New Roman" w:eastAsia="Calibri" w:hAnsi="Calibri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Rodap">
    <w:name w:val="footer"/>
    <w:basedOn w:val="Normal"/>
    <w:link w:val="RodapChar"/>
    <w:uiPriority w:val="99"/>
    <w:unhideWhenUsed w:val="1"/>
    <w:rsid w:val="00062156"/>
    <w:pPr>
      <w:tabs>
        <w:tab w:val="center" w:pos="4252"/>
        <w:tab w:val="right" w:pos="8504"/>
      </w:tabs>
    </w:pPr>
    <w:rPr>
      <w:lang w:val="x-none"/>
    </w:rPr>
  </w:style>
  <w:style w:type="character" w:styleId="RodapChar" w:customStyle="1">
    <w:name w:val="Rodapé Char"/>
    <w:basedOn w:val="Fontepargpadro"/>
    <w:link w:val="Rodap"/>
    <w:uiPriority w:val="99"/>
    <w:rsid w:val="00062156"/>
    <w:rPr>
      <w:rFonts w:ascii="Calibri" w:cs="Times New Roman" w:eastAsia="Calibri" w:hAnsi="Calibri"/>
      <w:lang w:val="x-none"/>
    </w:rPr>
  </w:style>
  <w:style w:type="table" w:styleId="TableNormal" w:customStyle="1">
    <w:name w:val="Table Normal"/>
    <w:uiPriority w:val="2"/>
    <w:semiHidden w:val="1"/>
    <w:unhideWhenUsed w:val="1"/>
    <w:qFormat w:val="1"/>
    <w:rsid w:val="000621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link w:val="CorpodetextoChar"/>
    <w:uiPriority w:val="1"/>
    <w:qFormat w:val="1"/>
    <w:rsid w:val="00062156"/>
    <w:pPr>
      <w:widowControl w:val="0"/>
      <w:autoSpaceDE w:val="0"/>
      <w:autoSpaceDN w:val="0"/>
      <w:spacing w:after="0" w:line="240" w:lineRule="auto"/>
    </w:pPr>
    <w:rPr>
      <w:rFonts w:ascii="Arial" w:cs="Arial" w:eastAsia="Arial" w:hAnsi="Arial"/>
      <w:lang w:bidi="pt-BR" w:eastAsia="pt-BR"/>
    </w:rPr>
  </w:style>
  <w:style w:type="character" w:styleId="CorpodetextoChar" w:customStyle="1">
    <w:name w:val="Corpo de texto Char"/>
    <w:basedOn w:val="Fontepargpadro"/>
    <w:link w:val="Corpodetexto"/>
    <w:uiPriority w:val="1"/>
    <w:rsid w:val="00062156"/>
    <w:rPr>
      <w:rFonts w:ascii="Arial" w:cs="Arial" w:eastAsia="Arial" w:hAnsi="Arial"/>
      <w:lang w:bidi="pt-BR" w:eastAsia="pt-BR"/>
    </w:rPr>
  </w:style>
  <w:style w:type="paragraph" w:styleId="TableParagraph" w:customStyle="1">
    <w:name w:val="Table Paragraph"/>
    <w:basedOn w:val="Normal"/>
    <w:uiPriority w:val="1"/>
    <w:qFormat w:val="1"/>
    <w:rsid w:val="00062156"/>
    <w:pPr>
      <w:widowControl w:val="0"/>
      <w:autoSpaceDE w:val="0"/>
      <w:autoSpaceDN w:val="0"/>
      <w:spacing w:after="0" w:line="240" w:lineRule="auto"/>
    </w:pPr>
    <w:rPr>
      <w:rFonts w:ascii="Arial" w:cs="Arial" w:eastAsia="Arial" w:hAnsi="Arial"/>
      <w:lang w:bidi="pt-BR" w:eastAsia="pt-BR"/>
    </w:rPr>
  </w:style>
  <w:style w:type="table" w:styleId="Tabelacomgrade">
    <w:name w:val="Table Grid"/>
    <w:basedOn w:val="Tabelanormal"/>
    <w:uiPriority w:val="39"/>
    <w:rsid w:val="000621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fontstyle01" w:customStyle="1">
    <w:name w:val="fontstyle01"/>
    <w:basedOn w:val="Fontepargpadro"/>
    <w:rsid w:val="00062156"/>
    <w:rPr>
      <w:rFonts w:ascii="Montserrat-Bold" w:hAnsi="Montserrat-Bold" w:hint="default"/>
      <w:b w:val="1"/>
      <w:bCs w:val="1"/>
      <w:i w:val="0"/>
      <w:iCs w:val="0"/>
      <w:color w:val="1a4695"/>
      <w:sz w:val="18"/>
      <w:szCs w:val="18"/>
    </w:rPr>
  </w:style>
  <w:style w:type="character" w:styleId="fontstyle21" w:customStyle="1">
    <w:name w:val="fontstyle21"/>
    <w:basedOn w:val="Fontepargpadro"/>
    <w:rsid w:val="00062156"/>
    <w:rPr>
      <w:rFonts w:ascii="Montserrat-Regular" w:hAnsi="Montserrat-Regular" w:hint="default"/>
      <w:b w:val="0"/>
      <w:bCs w:val="0"/>
      <w:i w:val="0"/>
      <w:iCs w:val="0"/>
      <w:color w:val="242021"/>
      <w:sz w:val="18"/>
      <w:szCs w:val="18"/>
    </w:rPr>
  </w:style>
  <w:style w:type="character" w:styleId="Hyperlink">
    <w:name w:val="Hyperlink"/>
    <w:basedOn w:val="Fontepargpadro"/>
    <w:uiPriority w:val="99"/>
    <w:unhideWhenUsed w:val="1"/>
    <w:rsid w:val="00062156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06215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62156"/>
    <w:rPr>
      <w:rFonts w:ascii="Calibri" w:cs="Times New Roman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ncbi.nlm.nih.gov/pmc/articles/PMC5372567/" TargetMode="External"/><Relationship Id="rId10" Type="http://schemas.openxmlformats.org/officeDocument/2006/relationships/hyperlink" Target="https://pubmed.ncbi.nlm.nih.gov/31625879/" TargetMode="External"/><Relationship Id="rId13" Type="http://schemas.openxmlformats.org/officeDocument/2006/relationships/hyperlink" Target="https://www.ncbi.nlm.nih.gov/pmc/articles/PMC8185633/" TargetMode="External"/><Relationship Id="rId12" Type="http://schemas.openxmlformats.org/officeDocument/2006/relationships/hyperlink" Target="https://www.ncbi.nlm.nih.gov/pmc/articles/PMC6905381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epositorio.ul.pt/handle/10451/52392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9YH9CU+XQ++yWS45d7nxEaDbbA==">CgMxLjAyCGguZ2pkZ3hzMg5oLm4zaGwxaTV5eGN0bzIOaC5nM2dpaXVxdzI2eG04AHIhMU5FeEZtamx2dGlrcEFqdzhEWTg2SHMzUm5KVWJBbnVa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2023-02-05T20:34:00Z</dcterms:created>
  <dc:creator>User</dc:creator>
</cp:coreProperties>
</file>